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E14" w:rsidRPr="00570172" w:rsidRDefault="00751E14" w:rsidP="00751E14">
      <w:pPr>
        <w:shd w:val="clear" w:color="auto" w:fill="FFFFFF"/>
        <w:jc w:val="center"/>
        <w:rPr>
          <w:rFonts w:asciiTheme="majorHAnsi" w:eastAsia="Calibri" w:hAnsiTheme="majorHAnsi" w:cstheme="majorHAnsi"/>
          <w:sz w:val="24"/>
          <w:szCs w:val="24"/>
        </w:rPr>
      </w:pPr>
      <w:r w:rsidRPr="00570172">
        <w:rPr>
          <w:rFonts w:asciiTheme="majorHAnsi" w:eastAsia="Calibri" w:hAnsiTheme="majorHAnsi" w:cstheme="majorHAnsi"/>
          <w:b/>
          <w:sz w:val="24"/>
          <w:szCs w:val="24"/>
        </w:rPr>
        <w:t>CHAMAMENTO PÚBLICO Nº 003/2024</w:t>
      </w:r>
      <w:r w:rsidRPr="00570172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:rsidR="00751E14" w:rsidRPr="00570172" w:rsidRDefault="00751E14" w:rsidP="00751E14">
      <w:pPr>
        <w:shd w:val="clear" w:color="auto" w:fill="FFFFFF"/>
        <w:jc w:val="center"/>
        <w:rPr>
          <w:rFonts w:asciiTheme="majorHAnsi" w:eastAsia="Calibri" w:hAnsiTheme="majorHAnsi" w:cstheme="majorHAnsi"/>
          <w:sz w:val="24"/>
          <w:szCs w:val="24"/>
        </w:rPr>
      </w:pPr>
      <w:r w:rsidRPr="00570172">
        <w:rPr>
          <w:rFonts w:asciiTheme="majorHAnsi" w:eastAsia="Calibri" w:hAnsiTheme="majorHAnsi" w:cstheme="majorHAnsi"/>
          <w:sz w:val="24"/>
          <w:szCs w:val="24"/>
        </w:rPr>
        <w:t>REDE MUNICIPAL DE PONTOS E PONTÕES DE CULTURA DE PIRANGA/MG</w:t>
      </w:r>
    </w:p>
    <w:p w:rsidR="00751E14" w:rsidRPr="00570172" w:rsidRDefault="00751E14" w:rsidP="00751E14">
      <w:pPr>
        <w:shd w:val="clear" w:color="auto" w:fill="FFFFFF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:rsidR="00751E14" w:rsidRPr="00570172" w:rsidRDefault="00751E14" w:rsidP="00751E14">
      <w:pPr>
        <w:shd w:val="clear" w:color="auto" w:fill="FFFFFF"/>
        <w:jc w:val="center"/>
        <w:rPr>
          <w:rFonts w:asciiTheme="majorHAnsi" w:eastAsia="Calibri" w:hAnsiTheme="majorHAnsi" w:cstheme="majorHAnsi"/>
          <w:sz w:val="24"/>
          <w:szCs w:val="24"/>
        </w:rPr>
      </w:pPr>
      <w:r w:rsidRPr="00570172">
        <w:rPr>
          <w:rFonts w:asciiTheme="majorHAnsi" w:eastAsia="Calibri" w:hAnsiTheme="majorHAnsi" w:cstheme="majorHAnsi"/>
          <w:b/>
          <w:sz w:val="24"/>
          <w:szCs w:val="24"/>
        </w:rPr>
        <w:t>CULTURA VIVA DO TAMANHO DO BRASIL!</w:t>
      </w:r>
      <w:r w:rsidRPr="00570172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:rsidR="00751E14" w:rsidRPr="00570172" w:rsidRDefault="00751E14" w:rsidP="00751E14">
      <w:pPr>
        <w:shd w:val="clear" w:color="auto" w:fill="FFFFFF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570172">
        <w:rPr>
          <w:rFonts w:asciiTheme="majorHAnsi" w:eastAsia="Calibri" w:hAnsiTheme="majorHAnsi" w:cstheme="majorHAnsi"/>
          <w:b/>
          <w:sz w:val="24"/>
          <w:szCs w:val="24"/>
        </w:rPr>
        <w:t>PREMIAÇÃO DE PONTOS E PONTÕES DE CULTURA</w:t>
      </w:r>
    </w:p>
    <w:p w:rsidR="002A5A82" w:rsidRDefault="002A5A82">
      <w:pPr>
        <w:shd w:val="clear" w:color="auto" w:fill="FFFFFF"/>
        <w:jc w:val="both"/>
        <w:rPr>
          <w:rFonts w:ascii="Calibri" w:eastAsia="Calibri" w:hAnsi="Calibri" w:cs="Calibri"/>
          <w:sz w:val="24"/>
          <w:szCs w:val="24"/>
        </w:rPr>
      </w:pPr>
    </w:p>
    <w:p w:rsidR="002A5A82" w:rsidRDefault="002A5A82">
      <w:pPr>
        <w:shd w:val="clear" w:color="auto" w:fill="FFFFFF"/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2A5A82" w:rsidRDefault="00FF7B9F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ANEXO 02 - CRITÉRIOS DE AVALIAÇÃO DA ETAPA DE SELEÇÃO</w:t>
      </w:r>
    </w:p>
    <w:p w:rsidR="002A5A82" w:rsidRDefault="002A5A8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highlight w:val="yellow"/>
        </w:rPr>
      </w:pPr>
    </w:p>
    <w:p w:rsidR="002A5A82" w:rsidRDefault="00FF7B9F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Avaliação da atuação da entidade cultural</w:t>
      </w:r>
    </w:p>
    <w:p w:rsidR="002A5A82" w:rsidRDefault="002A5A82">
      <w:pPr>
        <w:tabs>
          <w:tab w:val="center" w:pos="0"/>
        </w:tabs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  <w:highlight w:val="magenta"/>
        </w:rPr>
      </w:pPr>
    </w:p>
    <w:tbl>
      <w:tblPr>
        <w:tblStyle w:val="a"/>
        <w:tblW w:w="139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8265"/>
        <w:gridCol w:w="915"/>
        <w:gridCol w:w="1395"/>
        <w:gridCol w:w="1455"/>
        <w:gridCol w:w="1500"/>
      </w:tblGrid>
      <w:tr w:rsidR="002A5A82">
        <w:trPr>
          <w:trHeight w:val="555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765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DISTRIBUIÇÃO DOS PONTOS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PONTUAÇÃO MÁXIMA NO ITEM</w:t>
            </w:r>
          </w:p>
        </w:tc>
      </w:tr>
      <w:tr w:rsidR="002A5A82">
        <w:trPr>
          <w:trHeight w:val="79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2A5A82">
            <w:pPr>
              <w:widowControl w:val="0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 partir do portfólio, do formulário de inscrição e demais materiais enviados, e considerando os objetivos de Pontos de Cultura definidos na Lei que institui a Política Nacional de Cultura Viva (Lei nº 13.018/2014, art. 6º, I), analisar se a entidade ou co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letivo cultural atende aos seguintes critérios: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Não Atende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Atende Parcialmente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Atende Plenamente</w:t>
            </w:r>
          </w:p>
        </w:tc>
        <w:tc>
          <w:tcPr>
            <w:tcW w:w="150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100 pontos</w:t>
            </w: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Representa iniciativas culturais já desenvolvidas por comunidades, grupos e redes de colaboração.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b)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Promove, amplia e garante a criação e a produção artística e cultural.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Incentiva a preservação da cultura brasileira.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d)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Estimula a exploração de espaços públicos e privados para serem disponibilizados para a ação cultural.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Aumenta a visibilidade das diversas iniciativas culturais.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Promove a diversidade cultural brasileira, garantindo diálogos interculturais.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Garante acesso aos meios de fruição, produção e difusão cultural.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52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h)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Assegura a inclusão cultural da população idosa, de mulheres, jovens, pessoas negras, com deficiência, LGBTQIAP+ e/ou de baixa renda, combatendo as desigualdades sociais.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i)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Contribui para o fortalecimento da autonomia social das comunidades.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Promove o intercâmbio entre diferentes segmentos da comunidade.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Estimula a articulação das redes sociais e culturais e dessas com a educação.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l)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Adota princípios de gestão compartilhada entre atores culturais não governamentais e o Estado.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Fomenta as economias solidária e criativa.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Protege o patrimônio cultural material, imaterial e promove as memórias comunitárias.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o)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Apoia e incentiva manifestações culturais populares e tradicionais.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31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Realiza atividades culturais gratuitas e abertas com regularidade na comunidade.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55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q)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As ações da entidade/coletivo estão relacionadas aos eixos estruturantes da PNCV, por meio de ações nas áreas de formação, produção e/ou difusão sociocultural de maneira continuada.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2A5A82">
        <w:trPr>
          <w:trHeight w:val="555"/>
        </w:trPr>
        <w:tc>
          <w:tcPr>
            <w:tcW w:w="43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r)</w:t>
            </w:r>
          </w:p>
        </w:tc>
        <w:tc>
          <w:tcPr>
            <w:tcW w:w="826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 entidade possui articulação com outras organizações, compondo Frentes, Redes, Conselhos, Comissões, dentre outros espaços de participação e incidência política em áreas sinérgicas a PNCV.</w:t>
            </w:r>
          </w:p>
        </w:tc>
        <w:tc>
          <w:tcPr>
            <w:tcW w:w="91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0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</w:p>
        </w:tc>
        <w:tc>
          <w:tcPr>
            <w:tcW w:w="145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2A5A82" w:rsidRDefault="00FF7B9F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500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5A82" w:rsidRDefault="002A5A82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2A5A82" w:rsidRDefault="002A5A82">
      <w:pPr>
        <w:widowControl w:val="0"/>
        <w:rPr>
          <w:rFonts w:ascii="Calibri" w:eastAsia="Calibri" w:hAnsi="Calibri" w:cs="Calibri"/>
          <w:sz w:val="24"/>
          <w:szCs w:val="24"/>
        </w:rPr>
      </w:pPr>
    </w:p>
    <w:p w:rsidR="002A5A82" w:rsidRPr="00751E14" w:rsidRDefault="00FF7B9F" w:rsidP="00751E14">
      <w:pPr>
        <w:widowControl w:val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Para ser certificada, a entidade precisará alcançar a p</w:t>
      </w:r>
      <w:bookmarkStart w:id="0" w:name="_GoBack"/>
      <w:bookmarkEnd w:id="0"/>
      <w:r>
        <w:rPr>
          <w:rFonts w:ascii="Calibri" w:eastAsia="Calibri" w:hAnsi="Calibri" w:cs="Calibri"/>
          <w:sz w:val="24"/>
          <w:szCs w:val="24"/>
        </w:rPr>
        <w:t>ontuação mínima de 50 (cinquenta) pontos.</w:t>
      </w:r>
    </w:p>
    <w:sectPr w:rsidR="002A5A82" w:rsidRPr="00751E14">
      <w:headerReference w:type="default" r:id="rId6"/>
      <w:footerReference w:type="default" r:id="rId7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B9F" w:rsidRDefault="00FF7B9F">
      <w:pPr>
        <w:spacing w:line="240" w:lineRule="auto"/>
      </w:pPr>
      <w:r>
        <w:separator/>
      </w:r>
    </w:p>
  </w:endnote>
  <w:endnote w:type="continuationSeparator" w:id="0">
    <w:p w:rsidR="00FF7B9F" w:rsidRDefault="00FF7B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A82" w:rsidRDefault="00751E14">
    <w:r>
      <w:rPr>
        <w:noProof/>
        <w:color w:val="000000"/>
      </w:rPr>
      <w:drawing>
        <wp:anchor distT="0" distB="0" distL="114300" distR="114300" simplePos="0" relativeHeight="251662336" behindDoc="1" locked="0" layoutInCell="1" allowOverlap="1" wp14:anchorId="714941E8" wp14:editId="227251C0">
          <wp:simplePos x="0" y="0"/>
          <wp:positionH relativeFrom="column">
            <wp:posOffset>1123950</wp:posOffset>
          </wp:positionH>
          <wp:positionV relativeFrom="paragraph">
            <wp:posOffset>-66675</wp:posOffset>
          </wp:positionV>
          <wp:extent cx="1065530" cy="599440"/>
          <wp:effectExtent l="0" t="0" r="127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ef de piranga logo 21-24 com brasão_Prancheta 1_Prancheta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53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7B9F">
      <w:rPr>
        <w:noProof/>
      </w:rPr>
      <w:drawing>
        <wp:anchor distT="114300" distB="114300" distL="114300" distR="114300" simplePos="0" relativeHeight="251659264" behindDoc="1" locked="0" layoutInCell="1" hidden="0" allowOverlap="1">
          <wp:simplePos x="0" y="0"/>
          <wp:positionH relativeFrom="column">
            <wp:posOffset>-571499</wp:posOffset>
          </wp:positionH>
          <wp:positionV relativeFrom="paragraph">
            <wp:posOffset>-66674</wp:posOffset>
          </wp:positionV>
          <wp:extent cx="1290638" cy="564120"/>
          <wp:effectExtent l="0" t="0" r="0" b="0"/>
          <wp:wrapNone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290638" cy="564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F7B9F">
      <w:rPr>
        <w:noProof/>
      </w:rPr>
      <w:drawing>
        <wp:anchor distT="114300" distB="114300" distL="114300" distR="114300" simplePos="0" relativeHeight="251660288" behindDoc="1" locked="0" layoutInCell="1" hidden="0" allowOverlap="1">
          <wp:simplePos x="0" y="0"/>
          <wp:positionH relativeFrom="column">
            <wp:posOffset>7048500</wp:posOffset>
          </wp:positionH>
          <wp:positionV relativeFrom="paragraph">
            <wp:posOffset>-130499</wp:posOffset>
          </wp:positionV>
          <wp:extent cx="2125415" cy="740100"/>
          <wp:effectExtent l="0" t="0" r="0" b="0"/>
          <wp:wrapNone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2125415" cy="740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B9F" w:rsidRDefault="00FF7B9F">
      <w:pPr>
        <w:spacing w:line="240" w:lineRule="auto"/>
      </w:pPr>
      <w:r>
        <w:separator/>
      </w:r>
    </w:p>
  </w:footnote>
  <w:footnote w:type="continuationSeparator" w:id="0">
    <w:p w:rsidR="00FF7B9F" w:rsidRDefault="00FF7B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A82" w:rsidRDefault="00FF7B9F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-609599</wp:posOffset>
          </wp:positionH>
          <wp:positionV relativeFrom="paragraph">
            <wp:posOffset>-342899</wp:posOffset>
          </wp:positionV>
          <wp:extent cx="1569130" cy="890588"/>
          <wp:effectExtent l="0" t="0" r="0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A5A82" w:rsidRDefault="002A5A8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A82"/>
    <w:rsid w:val="002A5A82"/>
    <w:rsid w:val="00751E14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2152"/>
  <w15:docId w15:val="{D06A81CB-96D4-43AA-9E3B-208D984CC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51E14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51E14"/>
  </w:style>
  <w:style w:type="paragraph" w:styleId="Rodap">
    <w:name w:val="footer"/>
    <w:basedOn w:val="Normal"/>
    <w:link w:val="RodapChar"/>
    <w:uiPriority w:val="99"/>
    <w:unhideWhenUsed/>
    <w:rsid w:val="00751E14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51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412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Cultura e Turismo</cp:lastModifiedBy>
  <cp:revision>2</cp:revision>
  <dcterms:created xsi:type="dcterms:W3CDTF">2024-10-25T14:36:00Z</dcterms:created>
  <dcterms:modified xsi:type="dcterms:W3CDTF">2024-10-25T15:02:00Z</dcterms:modified>
</cp:coreProperties>
</file>